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2" w:rsidRDefault="004F2852" w:rsidP="009D1A98">
      <w:pPr>
        <w:pStyle w:val="Title"/>
      </w:pPr>
    </w:p>
    <w:p w:rsidR="004F2852" w:rsidRDefault="004F2852" w:rsidP="009D1A98">
      <w:pPr>
        <w:pStyle w:val="Title"/>
      </w:pPr>
    </w:p>
    <w:p w:rsidR="004F2852" w:rsidRDefault="004F2852" w:rsidP="009D1A98">
      <w:pPr>
        <w:pStyle w:val="Title"/>
      </w:pPr>
    </w:p>
    <w:p w:rsidR="009D1A98" w:rsidRDefault="009D1A98" w:rsidP="009D1A98">
      <w:pPr>
        <w:pStyle w:val="Title"/>
      </w:pPr>
      <w:r>
        <w:t>Key Highlights of Draft GST Rules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CBEC has recently issued 5 set of Draft rules on Registration, Invoice,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Payment, Refund, and Return.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These 5 set of rules has been approved by GST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Council  on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its 2nd meeting held on 30th September 2016.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9D1A98">
        <w:rPr>
          <w:rFonts w:ascii="Helvetica" w:hAnsi="Helvetica" w:cs="Helvetica"/>
          <w:b/>
          <w:color w:val="C00000"/>
          <w:sz w:val="28"/>
          <w:szCs w:val="28"/>
        </w:rPr>
        <w:t>Key Highlights of these rules are as follows:</w:t>
      </w:r>
    </w:p>
    <w:p w:rsidR="009D1A98" w:rsidRP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9D1A98" w:rsidRP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9D1A98">
        <w:rPr>
          <w:rFonts w:ascii="Helvetica" w:hAnsi="Helvetica" w:cs="Helvetica"/>
          <w:b/>
          <w:color w:val="C00000"/>
          <w:sz w:val="28"/>
          <w:szCs w:val="28"/>
        </w:rPr>
        <w:t>Draft Rules on Registration: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a. Part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A of the new form (GST REG-01) seeks to verify PAN through Income Tax Portal and mobile number &amp; Email id through OTP, even before applying for registration.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b. Application for registration is to be made online either directly on the GSTN Portal or through Facilitation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Centres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(these will be notified separately).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c. In aggregate, 26 forms have been floated (GST REG-01 to GST REG-26). 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Some important forms are as follows: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GST REG-01: Application for Registration in General case.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 xml:space="preserve">GST REG-07: Application for Registration as Tax </w:t>
      </w:r>
      <w:proofErr w:type="spellStart"/>
      <w:r w:rsidRPr="006547EC">
        <w:rPr>
          <w:rFonts w:ascii="Helvetica" w:hAnsi="Helvetica" w:cs="Helvetica"/>
          <w:color w:val="000000"/>
          <w:sz w:val="28"/>
          <w:szCs w:val="28"/>
        </w:rPr>
        <w:t>Deductor</w:t>
      </w:r>
      <w:proofErr w:type="spellEnd"/>
      <w:r w:rsidRPr="006547EC">
        <w:rPr>
          <w:rFonts w:ascii="Helvetica" w:hAnsi="Helvetica" w:cs="Helvetica"/>
          <w:color w:val="000000"/>
          <w:sz w:val="28"/>
          <w:szCs w:val="28"/>
        </w:rPr>
        <w:t>/ Collector.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GST REG-10: Application for Registration for Non Resident taxable person.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GST REG-06: Grant of Registration Certificate.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GST REG-09: Application for Allotment of Unique ID to UN Bodies/Embassies etc.</w:t>
      </w: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4F2852" w:rsidRDefault="009D1A98" w:rsidP="004F28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GST REG-11 &amp; 12: Application for Amendments &amp; Amendment order respectively.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GST REG-13: Allotment of Temporary Registration (In case an unregistered person detected by officer)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GST REG-14 to GST REG-19: Cancellation of Registration: Application, SCN, Order, And Revocation.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GST REG- 20 to 23: Existing Taxpayer; Enrollment, Provisional RC etc.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 xml:space="preserve">In case of Casual taxpayers &amp; Non-resident taxpayers, Application seeks details of estimated GST liability - </w:t>
      </w:r>
      <w:proofErr w:type="gramStart"/>
      <w:r w:rsidRPr="006547EC">
        <w:rPr>
          <w:rFonts w:ascii="Helvetica" w:hAnsi="Helvetica" w:cs="Helvetica"/>
          <w:color w:val="000000"/>
          <w:sz w:val="28"/>
          <w:szCs w:val="28"/>
        </w:rPr>
        <w:t>IGST ,</w:t>
      </w:r>
      <w:proofErr w:type="gramEnd"/>
      <w:r w:rsidRPr="006547EC">
        <w:rPr>
          <w:rFonts w:ascii="Helvetica" w:hAnsi="Helvetica" w:cs="Helvetica"/>
          <w:color w:val="000000"/>
          <w:sz w:val="28"/>
          <w:szCs w:val="28"/>
        </w:rPr>
        <w:t xml:space="preserve"> CGST, SGST  and Period of registration.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No fee is payable for filing application for registration.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Assignment of unique identity number to certain special entities like UN Bodies, Embassies etc.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Registration shall be effective from the date on which the person becomes liable to registration where application has been submitted within 30 days from such date.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In other cases, the effective date of registration will be the date of Grant of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6547EC">
        <w:rPr>
          <w:rFonts w:ascii="Helvetica" w:hAnsi="Helvetica" w:cs="Helvetica"/>
          <w:color w:val="000000"/>
          <w:sz w:val="28"/>
          <w:szCs w:val="28"/>
        </w:rPr>
        <w:t>registration.</w:t>
      </w:r>
    </w:p>
    <w:p w:rsidR="009D1A98" w:rsidRPr="006547EC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In case of Voluntary Registration, it cannot be cancelled before expiry of a period of one year from the effective date of registration.</w:t>
      </w:r>
    </w:p>
    <w:p w:rsidR="009D1A98" w:rsidRDefault="009D1A98" w:rsidP="006547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6547EC">
        <w:rPr>
          <w:rFonts w:ascii="Helvetica" w:hAnsi="Helvetica" w:cs="Helvetica"/>
          <w:color w:val="000000"/>
          <w:sz w:val="28"/>
          <w:szCs w:val="28"/>
        </w:rPr>
        <w:t>All applications, returns, appeals etc shall be filled electronically at Common Portal</w:t>
      </w:r>
      <w:r w:rsidR="006547EC" w:rsidRP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6547EC">
        <w:rPr>
          <w:rFonts w:ascii="Helvetica" w:hAnsi="Helvetica" w:cs="Helvetica"/>
          <w:color w:val="000000"/>
          <w:sz w:val="28"/>
          <w:szCs w:val="28"/>
        </w:rPr>
        <w:t>with Digital Signature/ E-Signature/ Other notified mode.</w:t>
      </w:r>
    </w:p>
    <w:p w:rsidR="006547EC" w:rsidRPr="006547EC" w:rsidRDefault="006547EC" w:rsidP="006547E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9D1A98" w:rsidRPr="006547EC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6547EC">
        <w:rPr>
          <w:rFonts w:ascii="Helvetica" w:hAnsi="Helvetica" w:cs="Helvetica"/>
          <w:b/>
          <w:color w:val="C00000"/>
          <w:sz w:val="28"/>
          <w:szCs w:val="28"/>
        </w:rPr>
        <w:t>Draft Rules on Invoice: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a. Particulars for a valid tax Invoice has been prescribed for supply of Goods and/or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Services.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b. In case of Exports, the Invoice shall carry an Endorsement “Supply meant for Export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on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Payment of IGST” or “Supply meant for export under Bond without payment of IGST”.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c. There’s a 30-day time limit for raising invoice from the date of supply of services but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no time limit provided for supply of goods. Further the same limit is 45 days in case of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banking company/financial institutions.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d. In case of supply of goods, the Invoice shall be prepared in Triplicate:</w:t>
      </w:r>
    </w:p>
    <w:p w:rsidR="009D1A98" w:rsidRPr="00F93EA0" w:rsidRDefault="009D1A98" w:rsidP="00F93E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Original Copy: For Recipient;</w:t>
      </w:r>
    </w:p>
    <w:p w:rsidR="009D1A98" w:rsidRPr="00F93EA0" w:rsidRDefault="009D1A98" w:rsidP="00F93E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Duplicate Copy: For Transporter;</w:t>
      </w:r>
    </w:p>
    <w:p w:rsidR="009D1A98" w:rsidRPr="00F93EA0" w:rsidRDefault="009D1A98" w:rsidP="00F93E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Triplicate Copy: For Supplier.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However Duplicate copy is not required in case supplier has obtained Invoice Reference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Number.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e. In case of supply of services, the Invoice shall be prepared in Duplicate:</w:t>
      </w:r>
    </w:p>
    <w:p w:rsid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F93EA0" w:rsidRDefault="009D1A98" w:rsidP="00F93E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Original Copy: For Recipient;</w:t>
      </w:r>
    </w:p>
    <w:p w:rsidR="009D1A98" w:rsidRDefault="009D1A98" w:rsidP="00F93E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Duplicate Copy: For Supplier.</w:t>
      </w:r>
    </w:p>
    <w:p w:rsidR="00F93EA0" w:rsidRPr="00F93EA0" w:rsidRDefault="00F93EA0" w:rsidP="00F93EA0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f. The draft format for obtaining Invoice Reference Number has been provided (Form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GST INV-1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needs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to be filled electronically).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g. Bill of Supply will be issued by suppliers when non-taxable goods or services are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supplied or by supplies under Composition Scheme.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h. Particulars (Some essential details to be mentioned) in case of Bill of Supply,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Supplementary Tax Invoice, Credit or Debit Notes has been prescribed.</w:t>
      </w:r>
    </w:p>
    <w:p w:rsid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. Particulars (Some essential details to be mentioned) for Tax Invoice issued by Input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service Distributor has been prescribed.</w:t>
      </w:r>
    </w:p>
    <w:p w:rsidR="006547EC" w:rsidRDefault="006547EC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6547EC">
        <w:rPr>
          <w:rFonts w:ascii="Helvetica" w:hAnsi="Helvetica" w:cs="Helvetica"/>
          <w:b/>
          <w:color w:val="C00000"/>
          <w:sz w:val="28"/>
          <w:szCs w:val="28"/>
        </w:rPr>
        <w:t>Draft Rules on Payment:</w:t>
      </w:r>
    </w:p>
    <w:p w:rsidR="006547EC" w:rsidRPr="006547EC" w:rsidRDefault="006547EC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4F2852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a. There will be following different registered to be maintained 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color w:val="000000"/>
          <w:sz w:val="28"/>
          <w:szCs w:val="28"/>
        </w:rPr>
        <w:t>electronically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:</w:t>
      </w:r>
    </w:p>
    <w:p w:rsidR="009D1A98" w:rsidRPr="00F93EA0" w:rsidRDefault="009D1A98" w:rsidP="00F93E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Electronic Tax Liability Register (form GST PMT-1);</w:t>
      </w:r>
    </w:p>
    <w:p w:rsidR="009D1A98" w:rsidRPr="00F93EA0" w:rsidRDefault="009D1A98" w:rsidP="00F93E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Electronic Credit Ledger (form GST PMT-2);</w:t>
      </w:r>
    </w:p>
    <w:p w:rsidR="009D1A98" w:rsidRPr="00F93EA0" w:rsidRDefault="009D1A98" w:rsidP="00F93E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Electronic Cash Ledger (form GST PMT-3).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b. All amounts payable by a taxable person will be debited to his Electronic Tax Liability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Register.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c. Payment of every such liability shall be made by “debiting the Electronic Credit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Ledger &amp; Electronic Cash Ledger” and accordingly Electronic Tax Liability Register shall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be credited with the same amount.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d. Every Claim of Input Tax Credit under the Act shall be credited to the Electronic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Credit Ledger.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e. Every amount deposited by the person through different payment mode shall be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credited to the Electronic Cash Ledger.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f. Tax can be paid through net banking, credit or debit card, NEFT/RTGS, Over the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Counter (OTC). Ho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wever in case of OTC Payment by   </w:t>
      </w:r>
      <w:r>
        <w:rPr>
          <w:rFonts w:ascii="Helvetica" w:hAnsi="Helvetica" w:cs="Helvetica"/>
          <w:color w:val="000000"/>
          <w:sz w:val="28"/>
          <w:szCs w:val="28"/>
        </w:rPr>
        <w:t>cash/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cheque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/DD the upper limit is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RS.10000 per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challan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per tax period.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g. Any payment required to be made by an unregistered person shall be made through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temporary identification number and details of such payment shall be recorded in a</w:t>
      </w:r>
      <w:r w:rsidR="006547EC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Form GST PMT-5 Register.</w:t>
      </w:r>
    </w:p>
    <w:p w:rsidR="009D1A98" w:rsidRDefault="006547EC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</w:t>
      </w:r>
      <w:r w:rsidR="009D1A98">
        <w:rPr>
          <w:rFonts w:ascii="Helvetica" w:hAnsi="Helvetica" w:cs="Helvetica"/>
          <w:color w:val="000000"/>
          <w:sz w:val="28"/>
          <w:szCs w:val="28"/>
        </w:rPr>
        <w:t>. Generation of unique ID for every transaction – to be correlated with Tax Liability</w:t>
      </w: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="009D1A98">
        <w:rPr>
          <w:rFonts w:ascii="Helvetica" w:hAnsi="Helvetica" w:cs="Helvetica"/>
          <w:color w:val="000000"/>
          <w:sz w:val="28"/>
          <w:szCs w:val="28"/>
        </w:rPr>
        <w:t>Register.</w:t>
      </w:r>
    </w:p>
    <w:p w:rsidR="006547EC" w:rsidRDefault="006547EC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6547EC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6547EC">
        <w:rPr>
          <w:rFonts w:ascii="Helvetica" w:hAnsi="Helvetica" w:cs="Helvetica"/>
          <w:b/>
          <w:color w:val="C00000"/>
          <w:sz w:val="28"/>
          <w:szCs w:val="28"/>
        </w:rPr>
        <w:t>Draft Rules on Refund: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Refund can be claimed by filling an application in FORM “GST RFD-1”.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Claim of Refund relating to balance in electronic cash ledger may be through the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Returns of relevant tax period in FORM GSTR-3, GSTR-4 or FORM GSTR-7.</w:t>
      </w:r>
    </w:p>
    <w:p w:rsidR="004F2852" w:rsidRDefault="004F2852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3A7681" w:rsidRPr="004F2852" w:rsidRDefault="003A7681" w:rsidP="004F2852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Some prescribed documentary evidences shall be accompanied along with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application for refund.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Some formula has been prescribed for calculating Amount of Refund of “Input tax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credit” in case of Export without payment of Tax under bond/letter of undertaking.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An acknowledgement in Form “GST RFD-2” will be made available to the applicant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of refund claim in case the application is found to be complete.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In case of any deficiency, the same will be communicated to the applicant in Form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“GST RFD-3”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Some conditions has been prescribed for claim of provisional refund of 80% (In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case of Claim of refund on account of export of goods and/or services made by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 xml:space="preserve">such Notified Category of </w:t>
      </w:r>
      <w:proofErr w:type="spellStart"/>
      <w:r w:rsidRPr="00F93EA0">
        <w:rPr>
          <w:rFonts w:ascii="Helvetica" w:hAnsi="Helvetica" w:cs="Helvetica"/>
          <w:color w:val="000000"/>
          <w:sz w:val="28"/>
          <w:szCs w:val="28"/>
        </w:rPr>
        <w:t>reg</w:t>
      </w:r>
      <w:proofErr w:type="spellEnd"/>
      <w:r w:rsidRPr="00F93EA0">
        <w:rPr>
          <w:rFonts w:ascii="Helvetica" w:hAnsi="Helvetica" w:cs="Helvetica"/>
          <w:color w:val="000000"/>
          <w:sz w:val="28"/>
          <w:szCs w:val="28"/>
        </w:rPr>
        <w:t xml:space="preserve"> taxable person). The said Refund order will be made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in Form “GST RFD-4”.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Form “GST RFD-5” has been prescribed for Order sanctioning/ Rejecting Refund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claim.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In case of rejection of refund claim, an SCN will be provided in Form “GST RFD-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7”.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Payment Advice for Sanction of refund claim will be made in Form “GST RFD-8”.</w:t>
      </w:r>
    </w:p>
    <w:p w:rsidR="009D1A98" w:rsidRPr="00F93EA0" w:rsidRDefault="009D1A98" w:rsidP="00F93E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color w:val="000000"/>
          <w:sz w:val="28"/>
          <w:szCs w:val="28"/>
        </w:rPr>
        <w:t>In case of delay payment of Refund beyond 90 days from the day of submission of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claim, Interest will be paid to the applicant. Order and Payment advice for such</w:t>
      </w:r>
      <w:r w:rsidR="006547EC" w:rsidRP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F93EA0">
        <w:rPr>
          <w:rFonts w:ascii="Helvetica" w:hAnsi="Helvetica" w:cs="Helvetica"/>
          <w:color w:val="000000"/>
          <w:sz w:val="28"/>
          <w:szCs w:val="28"/>
        </w:rPr>
        <w:t>interest payment will be made in Form “GST RFD-9”</w:t>
      </w:r>
    </w:p>
    <w:p w:rsidR="006547EC" w:rsidRDefault="006547EC" w:rsidP="00F93E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6547EC">
        <w:rPr>
          <w:rFonts w:ascii="Helvetica" w:hAnsi="Helvetica" w:cs="Helvetica"/>
          <w:b/>
          <w:color w:val="C00000"/>
          <w:sz w:val="28"/>
          <w:szCs w:val="28"/>
        </w:rPr>
        <w:t>Draft Rules on Returns:</w:t>
      </w:r>
    </w:p>
    <w:p w:rsidR="006547EC" w:rsidRPr="006547EC" w:rsidRDefault="006547EC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 xml:space="preserve">A total of 27 forms </w:t>
      </w:r>
      <w:proofErr w:type="gramStart"/>
      <w:r w:rsidRPr="004F2852">
        <w:rPr>
          <w:rFonts w:ascii="Helvetica" w:hAnsi="Helvetica" w:cs="Helvetica"/>
          <w:color w:val="000000"/>
          <w:sz w:val="28"/>
          <w:szCs w:val="28"/>
        </w:rPr>
        <w:t>has</w:t>
      </w:r>
      <w:proofErr w:type="gramEnd"/>
      <w:r w:rsidRPr="004F2852">
        <w:rPr>
          <w:rFonts w:ascii="Helvetica" w:hAnsi="Helvetica" w:cs="Helvetica"/>
          <w:color w:val="000000"/>
          <w:sz w:val="28"/>
          <w:szCs w:val="28"/>
        </w:rPr>
        <w:t xml:space="preserve"> been prescribed under Draft GST Return Rules. Monthly</w:t>
      </w:r>
      <w:r w:rsidR="006547EC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submission of returns has been mandated in case of normal assesses.</w:t>
      </w: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3A768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Sections 25 of Model GST law mandates submission of details of outward supplies</w:t>
      </w:r>
      <w:r w:rsidR="006547EC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by every registered taxable person, which will be communicated to the</w:t>
      </w:r>
      <w:r w:rsidR="006547EC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corresponding recipient of goods and/or services.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Form “GSTR-1” has been prescribed for furnishing such details of outward</w:t>
      </w:r>
      <w:r w:rsid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supply. The details furnished will be auto populated in “Form GSTR-2A”.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Form “GSTR2” has been prescribed for furnishing details of Inward supply on the</w:t>
      </w:r>
      <w:r w:rsidR="004F2852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basis of details auto populated in Form GSTR-2A.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The details of Inward supplies added, corrected or deleted by the recipient in his</w:t>
      </w:r>
      <w:r w:rsidR="004F2852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Form GSTR-2 shall be made available to the Supplier in Form GSTR-1A.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Thereafter such supplier may either accept or reject the modifications made by the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recipient.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Form “GSTR-3” has been prescribed for submission of final Monthly Return. Part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A of this Form will be auto populated on the basis of information furnished earlier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through returns in Form GSTR-1, GSTR-2 etc.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In case of Composition Supplier, Form “GSTR-4” has been prescribed for</w:t>
      </w:r>
      <w:r w:rsid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submission of returns quarterly.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Form “GSTR-5” has been prescribed for submission of returns by Non-Resident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taxable person.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Form “GSTR-6” has been prescribed for submission of returns by an ISD i.e.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Input service distributor.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Form “GSTR-7” has been prescribed for submission of returns by a person</w:t>
      </w:r>
      <w:r w:rsid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required to deduct tax at source.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>Form “GSTR-8” has been prescribed for submission of statement by an E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>c</w:t>
      </w:r>
      <w:r w:rsidRPr="004F2852">
        <w:rPr>
          <w:rFonts w:ascii="Helvetica" w:hAnsi="Helvetica" w:cs="Helvetica"/>
          <w:color w:val="000000"/>
          <w:sz w:val="28"/>
          <w:szCs w:val="28"/>
        </w:rPr>
        <w:t>ommerce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operator required to collect TCS.</w:t>
      </w:r>
    </w:p>
    <w:p w:rsidR="009D1A98" w:rsidRPr="004F2852" w:rsidRDefault="009D1A98" w:rsidP="004F28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color w:val="000000"/>
          <w:sz w:val="28"/>
          <w:szCs w:val="28"/>
        </w:rPr>
        <w:t xml:space="preserve">The details of Invoices furnished by ISD, Tax </w:t>
      </w:r>
      <w:proofErr w:type="spellStart"/>
      <w:r w:rsidRPr="004F2852">
        <w:rPr>
          <w:rFonts w:ascii="Helvetica" w:hAnsi="Helvetica" w:cs="Helvetica"/>
          <w:color w:val="000000"/>
          <w:sz w:val="28"/>
          <w:szCs w:val="28"/>
        </w:rPr>
        <w:t>Deductor</w:t>
      </w:r>
      <w:proofErr w:type="spellEnd"/>
      <w:r w:rsidRPr="004F2852">
        <w:rPr>
          <w:rFonts w:ascii="Helvetica" w:hAnsi="Helvetica" w:cs="Helvetica"/>
          <w:color w:val="000000"/>
          <w:sz w:val="28"/>
          <w:szCs w:val="28"/>
        </w:rPr>
        <w:t xml:space="preserve"> or collector will be auto</w:t>
      </w:r>
      <w:r w:rsidR="00F93EA0" w:rsidRP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 w:rsidRPr="004F2852">
        <w:rPr>
          <w:rFonts w:ascii="Helvetica" w:hAnsi="Helvetica" w:cs="Helvetica"/>
          <w:color w:val="000000"/>
          <w:sz w:val="28"/>
          <w:szCs w:val="28"/>
        </w:rPr>
        <w:t>populated in “Form GSTR-2A”</w:t>
      </w:r>
    </w:p>
    <w:p w:rsid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F93EA0">
        <w:rPr>
          <w:rFonts w:ascii="Helvetica" w:hAnsi="Helvetica" w:cs="Helvetica"/>
          <w:b/>
          <w:color w:val="C00000"/>
          <w:sz w:val="28"/>
          <w:szCs w:val="28"/>
        </w:rPr>
        <w:t>Provision for Matching of claim of Input tax credit:</w:t>
      </w:r>
    </w:p>
    <w:p w:rsidR="00F93EA0" w:rsidRP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a. As per section 29 of Model GST Law, after submission of monthly return, the details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of every inward supply be matched with corresponding details of outward supply.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b. Following details will be matched: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a. GSTIN of the supplier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b. GSTIN of the recipient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c. Invoice Date / Debit note date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d. Invoice Number / Debit note number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e. Taxable value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f. Tax Amount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c. Any discrepancy will be communicated to both the supplier and recipients and in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case the same is not rectified, amount to the extent of discrepancy will be added to the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output tax liability of the recipient.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F93EA0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F93EA0">
        <w:rPr>
          <w:rFonts w:ascii="Helvetica" w:hAnsi="Helvetica" w:cs="Helvetica"/>
          <w:b/>
          <w:color w:val="C00000"/>
          <w:sz w:val="28"/>
          <w:szCs w:val="28"/>
        </w:rPr>
        <w:t>Provision for Matching of claim of Input tax credit: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a. As per section 29A of Model GST Law, after submission of monthly return, the details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of every credit note relating to outward supply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be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matched with corresponding reduction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in the claim for input tax credit.</w:t>
      </w:r>
    </w:p>
    <w:p w:rsid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F93EA0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F93EA0">
        <w:rPr>
          <w:rFonts w:ascii="Helvetica" w:hAnsi="Helvetica" w:cs="Helvetica"/>
          <w:b/>
          <w:color w:val="C00000"/>
          <w:sz w:val="28"/>
          <w:szCs w:val="28"/>
        </w:rPr>
        <w:t>b. Following details will be matched: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a. GSTIN of the supplier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b. GSTIN of the recipient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c. Credit note date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d. Credit note number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e. Taxable value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f. Tax Amount</w:t>
      </w: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c. Any discrepancy will be communicated to both the supplier and recipients and in</w:t>
      </w:r>
      <w:r w:rsid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case the same is not rectified, amount to the extent of discrepancy will be added to the</w:t>
      </w:r>
      <w:r w:rsidR="004F2852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output tax liability of the supplier.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b/>
          <w:color w:val="C00000"/>
          <w:sz w:val="28"/>
          <w:szCs w:val="28"/>
        </w:rPr>
        <w:t>Annual Return</w:t>
      </w:r>
      <w:r>
        <w:rPr>
          <w:rFonts w:ascii="Helvetica" w:hAnsi="Helvetica" w:cs="Helvetica"/>
          <w:color w:val="000000"/>
          <w:sz w:val="28"/>
          <w:szCs w:val="28"/>
        </w:rPr>
        <w:t>: Form “GSTR-9” has been prescribed for furnishing of Annual return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by every registered taxable person. However in case of composition supplier, Form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“GSTR-9A” has been prescribed.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4F2852">
        <w:rPr>
          <w:rFonts w:ascii="Helvetica" w:hAnsi="Helvetica" w:cs="Helvetica"/>
          <w:b/>
          <w:color w:val="C00000"/>
          <w:sz w:val="28"/>
          <w:szCs w:val="28"/>
        </w:rPr>
        <w:t>Provision for Audit of accounts</w:t>
      </w:r>
      <w:r>
        <w:rPr>
          <w:rFonts w:ascii="Helvetica" w:hAnsi="Helvetica" w:cs="Helvetica"/>
          <w:color w:val="000000"/>
          <w:sz w:val="28"/>
          <w:szCs w:val="28"/>
        </w:rPr>
        <w:t>: Every registered taxable person whose aggregate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 xml:space="preserve">turnover during a financial year exceeds Rs.1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Crore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shall get his accounts audited by a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Chartered Accountant or Cost Accountant. Form “GSTR-9B” has been prescribed for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furnishing audited annual accounts and reconciliation statement.</w:t>
      </w:r>
    </w:p>
    <w:p w:rsid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F93EA0">
        <w:rPr>
          <w:rFonts w:ascii="Helvetica" w:hAnsi="Helvetica" w:cs="Helvetica"/>
          <w:b/>
          <w:color w:val="C00000"/>
          <w:sz w:val="28"/>
          <w:szCs w:val="28"/>
        </w:rPr>
        <w:t>Final Return:</w:t>
      </w:r>
      <w:r>
        <w:rPr>
          <w:rFonts w:ascii="Helvetica" w:hAnsi="Helvetica" w:cs="Helvetica"/>
          <w:color w:val="000000"/>
          <w:sz w:val="28"/>
          <w:szCs w:val="28"/>
        </w:rPr>
        <w:t xml:space="preserve"> It needs to be furnished in case of Cancellation of registration within 3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month of date of cancellation or date of cancellation order whichever is later. Form“GSTR-10” has been prescribed for the same.</w:t>
      </w:r>
    </w:p>
    <w:p w:rsidR="00F93EA0" w:rsidRDefault="00F93EA0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Pr="00F93EA0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C00000"/>
          <w:sz w:val="28"/>
          <w:szCs w:val="28"/>
        </w:rPr>
      </w:pPr>
      <w:r w:rsidRPr="00F93EA0">
        <w:rPr>
          <w:rFonts w:ascii="Helvetica" w:hAnsi="Helvetica" w:cs="Helvetica"/>
          <w:b/>
          <w:color w:val="C00000"/>
          <w:sz w:val="28"/>
          <w:szCs w:val="28"/>
        </w:rPr>
        <w:t>Provisions relating to Tax Return Preparer (TRP):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a. As per sec 34 of model GST Law, a registered taxable person may authorize an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approved TRP to furnish various returns.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b. An application in Form “GST TRP-1” may be made for enrolment as TRP by specified</w:t>
      </w:r>
      <w:r w:rsidR="00F93EA0"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8"/>
          <w:szCs w:val="28"/>
        </w:rPr>
        <w:t>persons.</w:t>
      </w: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c. Certificate will be issued in Form “GST TRP-2” for enrolment as TRP.</w:t>
      </w:r>
    </w:p>
    <w:p w:rsidR="004F2852" w:rsidRDefault="004F2852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9D1A98" w:rsidRDefault="009D1A98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(Disclaimer: This write up is based on the understanding and interpretation of author and the same is not intended to be a professional advice.)</w:t>
      </w: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</w:p>
    <w:p w:rsidR="003A7681" w:rsidRDefault="003A7681" w:rsidP="009D1A9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Source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courtesy;caclubindia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.com</w:t>
      </w:r>
    </w:p>
    <w:sectPr w:rsidR="003A7681" w:rsidSect="00F93E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99"/>
    <w:multiLevelType w:val="hybridMultilevel"/>
    <w:tmpl w:val="2EACD5B4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030F5A"/>
    <w:multiLevelType w:val="hybridMultilevel"/>
    <w:tmpl w:val="4C605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4C5"/>
    <w:multiLevelType w:val="hybridMultilevel"/>
    <w:tmpl w:val="103E93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31F4D"/>
    <w:multiLevelType w:val="hybridMultilevel"/>
    <w:tmpl w:val="265CF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D7AB4"/>
    <w:multiLevelType w:val="hybridMultilevel"/>
    <w:tmpl w:val="222C3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92BD4"/>
    <w:multiLevelType w:val="hybridMultilevel"/>
    <w:tmpl w:val="3772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870A1"/>
    <w:multiLevelType w:val="hybridMultilevel"/>
    <w:tmpl w:val="3236C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186E"/>
    <w:multiLevelType w:val="hybridMultilevel"/>
    <w:tmpl w:val="F6F82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B64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AA91F00"/>
    <w:multiLevelType w:val="hybridMultilevel"/>
    <w:tmpl w:val="F702C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428FC"/>
    <w:multiLevelType w:val="hybridMultilevel"/>
    <w:tmpl w:val="E63C3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1A98"/>
    <w:rsid w:val="003A7681"/>
    <w:rsid w:val="004F2852"/>
    <w:rsid w:val="006547EC"/>
    <w:rsid w:val="00907573"/>
    <w:rsid w:val="009D1A98"/>
    <w:rsid w:val="00F9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1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4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D3C8-753C-43B5-9FB5-C42A5F81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node5</dc:creator>
  <cp:keywords/>
  <dc:description/>
  <cp:lastModifiedBy>node5</cp:lastModifiedBy>
  <cp:revision>2</cp:revision>
  <dcterms:created xsi:type="dcterms:W3CDTF">2016-10-03T05:59:00Z</dcterms:created>
  <dcterms:modified xsi:type="dcterms:W3CDTF">2016-10-03T07:57:00Z</dcterms:modified>
</cp:coreProperties>
</file>